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F8D2" w14:textId="77777777" w:rsidR="005208ED" w:rsidRDefault="005208ED" w:rsidP="005208ED">
      <w:pPr>
        <w:jc w:val="center"/>
        <w:rPr>
          <w:b/>
          <w:sz w:val="28"/>
          <w:szCs w:val="24"/>
        </w:rPr>
      </w:pPr>
      <w:r>
        <w:rPr>
          <w:b/>
          <w:sz w:val="28"/>
          <w:szCs w:val="24"/>
        </w:rPr>
        <w:t>BCI.edu</w:t>
      </w:r>
    </w:p>
    <w:p w14:paraId="33277585" w14:textId="77777777" w:rsidR="005208ED" w:rsidRDefault="005208ED" w:rsidP="005208ED">
      <w:pPr>
        <w:jc w:val="center"/>
        <w:rPr>
          <w:b/>
          <w:sz w:val="28"/>
          <w:szCs w:val="24"/>
        </w:rPr>
      </w:pPr>
      <w:r>
        <w:rPr>
          <w:b/>
          <w:sz w:val="28"/>
          <w:szCs w:val="24"/>
        </w:rPr>
        <w:t>Case Studies in AR Fraud: Improving Your Internal Controls</w:t>
      </w:r>
    </w:p>
    <w:p w14:paraId="0BD43202" w14:textId="6B217F64" w:rsidR="005208ED" w:rsidRDefault="00D54286" w:rsidP="005208ED">
      <w:pPr>
        <w:pStyle w:val="NormalWeb"/>
        <w:spacing w:before="0" w:beforeAutospacing="0" w:after="0" w:afterAutospacing="0"/>
        <w:rPr>
          <w:rFonts w:ascii="Calibri" w:hAnsi="Calibri" w:cs="Calibri"/>
        </w:rPr>
      </w:pPr>
      <w:r>
        <w:rPr>
          <w:rFonts w:ascii="Calibri" w:hAnsi="Calibri" w:cs="Calibri"/>
        </w:rPr>
        <w:t xml:space="preserve">Chris Doxey will review </w:t>
      </w:r>
      <w:r w:rsidR="001175E0">
        <w:rPr>
          <w:rFonts w:ascii="Calibri" w:hAnsi="Calibri" w:cs="Calibri"/>
        </w:rPr>
        <w:t>c</w:t>
      </w:r>
      <w:r>
        <w:rPr>
          <w:rFonts w:ascii="Calibri" w:hAnsi="Calibri" w:cs="Calibri"/>
        </w:rPr>
        <w:t>ase studies in</w:t>
      </w:r>
      <w:r w:rsidR="001175E0">
        <w:rPr>
          <w:rFonts w:ascii="Calibri" w:hAnsi="Calibri" w:cs="Calibri"/>
        </w:rPr>
        <w:t>volving</w:t>
      </w:r>
      <w:r>
        <w:rPr>
          <w:rFonts w:ascii="Calibri" w:hAnsi="Calibri" w:cs="Calibri"/>
        </w:rPr>
        <w:t xml:space="preserve"> AR Fraud</w:t>
      </w:r>
      <w:r w:rsidR="001175E0">
        <w:rPr>
          <w:rFonts w:ascii="Calibri" w:hAnsi="Calibri" w:cs="Calibri"/>
        </w:rPr>
        <w:t>.  The webinar will cover</w:t>
      </w:r>
      <w:bookmarkStart w:id="0" w:name="_GoBack"/>
      <w:bookmarkEnd w:id="0"/>
      <w:r>
        <w:rPr>
          <w:rFonts w:ascii="Calibri" w:hAnsi="Calibri" w:cs="Calibri"/>
        </w:rPr>
        <w:t xml:space="preserve"> best practices to improve your company’s internal controls to prevent fraud.  Key topics include:</w:t>
      </w:r>
    </w:p>
    <w:p w14:paraId="668F1D2A" w14:textId="77777777" w:rsidR="005208ED" w:rsidRDefault="005208ED" w:rsidP="005208ED">
      <w:pPr>
        <w:pStyle w:val="NormalWeb"/>
        <w:spacing w:before="0" w:beforeAutospacing="0" w:after="0" w:afterAutospacing="0"/>
        <w:rPr>
          <w:rFonts w:ascii="Calibri" w:hAnsi="Calibri" w:cs="Calibri"/>
        </w:rPr>
      </w:pPr>
    </w:p>
    <w:p w14:paraId="1B5EB511" w14:textId="77777777" w:rsidR="005208ED" w:rsidRDefault="005208ED" w:rsidP="005208ED">
      <w:pPr>
        <w:pStyle w:val="NormalWeb"/>
        <w:numPr>
          <w:ilvl w:val="0"/>
          <w:numId w:val="3"/>
        </w:numPr>
        <w:spacing w:before="0" w:beforeAutospacing="0" w:after="0" w:afterAutospacing="0"/>
        <w:rPr>
          <w:rFonts w:ascii="Calibri" w:hAnsi="Calibri" w:cs="Calibri"/>
        </w:rPr>
      </w:pPr>
      <w:r>
        <w:rPr>
          <w:rFonts w:ascii="Calibri" w:hAnsi="Calibri" w:cs="Calibri"/>
        </w:rPr>
        <w:t>Types of AR Fraud</w:t>
      </w:r>
    </w:p>
    <w:p w14:paraId="1B551ABB" w14:textId="77777777" w:rsidR="005208ED" w:rsidRDefault="005208ED" w:rsidP="005208ED">
      <w:pPr>
        <w:pStyle w:val="NormalWeb"/>
        <w:numPr>
          <w:ilvl w:val="0"/>
          <w:numId w:val="3"/>
        </w:numPr>
        <w:spacing w:before="0" w:beforeAutospacing="0" w:after="0" w:afterAutospacing="0"/>
        <w:rPr>
          <w:rFonts w:ascii="Calibri" w:hAnsi="Calibri" w:cs="Calibri"/>
        </w:rPr>
      </w:pPr>
      <w:r>
        <w:rPr>
          <w:rFonts w:ascii="Calibri" w:hAnsi="Calibri" w:cs="Calibri"/>
        </w:rPr>
        <w:t>Identifying Employee AR Fraud</w:t>
      </w:r>
    </w:p>
    <w:p w14:paraId="2AEF2B56" w14:textId="77777777" w:rsidR="005208ED" w:rsidRDefault="00D54286" w:rsidP="005208ED">
      <w:pPr>
        <w:pStyle w:val="NormalWeb"/>
        <w:numPr>
          <w:ilvl w:val="0"/>
          <w:numId w:val="3"/>
        </w:numPr>
        <w:spacing w:before="0" w:beforeAutospacing="0" w:after="0" w:afterAutospacing="0"/>
        <w:rPr>
          <w:rFonts w:ascii="Calibri" w:hAnsi="Calibri" w:cs="Calibri"/>
        </w:rPr>
      </w:pPr>
      <w:r>
        <w:rPr>
          <w:rFonts w:ascii="Calibri" w:hAnsi="Calibri" w:cs="Calibri"/>
        </w:rPr>
        <w:t>Standards to prevent AR Fraud</w:t>
      </w:r>
    </w:p>
    <w:p w14:paraId="345E4CF2" w14:textId="77777777" w:rsidR="00D54286" w:rsidRDefault="00D54286" w:rsidP="005208ED">
      <w:pPr>
        <w:pStyle w:val="NormalWeb"/>
        <w:numPr>
          <w:ilvl w:val="0"/>
          <w:numId w:val="3"/>
        </w:numPr>
        <w:spacing w:before="0" w:beforeAutospacing="0" w:after="0" w:afterAutospacing="0"/>
        <w:rPr>
          <w:rFonts w:ascii="Calibri" w:hAnsi="Calibri" w:cs="Calibri"/>
        </w:rPr>
      </w:pPr>
      <w:r>
        <w:rPr>
          <w:rFonts w:ascii="Calibri" w:hAnsi="Calibri" w:cs="Calibri"/>
        </w:rPr>
        <w:t>Role of Automation in AR Fraud Reduction</w:t>
      </w:r>
    </w:p>
    <w:p w14:paraId="20BABD6D" w14:textId="77777777" w:rsidR="00D54286" w:rsidRDefault="00D54286" w:rsidP="005208ED">
      <w:pPr>
        <w:pStyle w:val="NormalWeb"/>
        <w:numPr>
          <w:ilvl w:val="0"/>
          <w:numId w:val="3"/>
        </w:numPr>
        <w:spacing w:before="0" w:beforeAutospacing="0" w:after="0" w:afterAutospacing="0"/>
        <w:rPr>
          <w:rFonts w:ascii="Calibri" w:hAnsi="Calibri" w:cs="Calibri"/>
        </w:rPr>
      </w:pPr>
      <w:r>
        <w:rPr>
          <w:rFonts w:ascii="Calibri" w:hAnsi="Calibri" w:cs="Calibri"/>
        </w:rPr>
        <w:t>Sarbanes-Oxley Act</w:t>
      </w:r>
    </w:p>
    <w:p w14:paraId="3701CC73" w14:textId="77777777" w:rsidR="00D54286" w:rsidRDefault="00D54286" w:rsidP="005208ED">
      <w:pPr>
        <w:pStyle w:val="NormalWeb"/>
        <w:numPr>
          <w:ilvl w:val="0"/>
          <w:numId w:val="3"/>
        </w:numPr>
        <w:spacing w:before="0" w:beforeAutospacing="0" w:after="0" w:afterAutospacing="0"/>
        <w:rPr>
          <w:rFonts w:ascii="Calibri" w:hAnsi="Calibri" w:cs="Calibri"/>
        </w:rPr>
      </w:pPr>
      <w:r>
        <w:rPr>
          <w:rFonts w:ascii="Calibri" w:hAnsi="Calibri" w:cs="Calibri"/>
        </w:rPr>
        <w:t>Importance of revenue recognition control</w:t>
      </w:r>
    </w:p>
    <w:p w14:paraId="5B0D270D" w14:textId="77777777" w:rsidR="005208ED" w:rsidRDefault="005208ED" w:rsidP="005208ED">
      <w:pPr>
        <w:rPr>
          <w:sz w:val="24"/>
          <w:szCs w:val="24"/>
        </w:rPr>
      </w:pPr>
    </w:p>
    <w:p w14:paraId="229FFE4F" w14:textId="77777777" w:rsidR="005208ED" w:rsidRDefault="001175E0" w:rsidP="005208ED">
      <w:pPr>
        <w:rPr>
          <w:b/>
          <w:sz w:val="28"/>
          <w:szCs w:val="24"/>
        </w:rPr>
      </w:pPr>
      <w:hyperlink r:id="rId5" w:history="1">
        <w:r w:rsidR="005208ED" w:rsidRPr="005208ED">
          <w:rPr>
            <w:rStyle w:val="Hyperlink"/>
            <w:b/>
            <w:sz w:val="32"/>
            <w:szCs w:val="24"/>
            <w:highlight w:val="green"/>
          </w:rPr>
          <w:t>Register Now</w:t>
        </w:r>
      </w:hyperlink>
      <w:r w:rsidR="005208ED">
        <w:rPr>
          <w:b/>
          <w:sz w:val="32"/>
          <w:szCs w:val="24"/>
        </w:rPr>
        <w:t xml:space="preserve"> </w:t>
      </w:r>
      <w:r w:rsidR="005208ED">
        <w:rPr>
          <w:b/>
          <w:sz w:val="32"/>
          <w:szCs w:val="24"/>
        </w:rPr>
        <w:tab/>
      </w:r>
      <w:r w:rsidR="005208ED">
        <w:rPr>
          <w:b/>
          <w:sz w:val="28"/>
          <w:szCs w:val="24"/>
        </w:rPr>
        <w:t>October 23, 2019 1:00 p.m.</w:t>
      </w:r>
    </w:p>
    <w:p w14:paraId="6EEBD558" w14:textId="77777777" w:rsidR="005208ED" w:rsidRDefault="005208ED" w:rsidP="005208ED">
      <w:pPr>
        <w:spacing w:after="0" w:line="240" w:lineRule="auto"/>
        <w:rPr>
          <w:sz w:val="24"/>
          <w:szCs w:val="24"/>
        </w:rPr>
      </w:pPr>
    </w:p>
    <w:p w14:paraId="68647718" w14:textId="77777777" w:rsidR="005208ED" w:rsidRDefault="005208ED" w:rsidP="005208ED">
      <w:pPr>
        <w:spacing w:after="0" w:line="240" w:lineRule="auto"/>
        <w:rPr>
          <w:b/>
          <w:sz w:val="24"/>
          <w:szCs w:val="24"/>
        </w:rPr>
      </w:pPr>
      <w:r>
        <w:rPr>
          <w:b/>
          <w:sz w:val="24"/>
          <w:szCs w:val="24"/>
        </w:rPr>
        <w:t>Speaker Profile:</w:t>
      </w:r>
    </w:p>
    <w:p w14:paraId="7139C3BC" w14:textId="77777777" w:rsidR="005208ED" w:rsidRDefault="005208ED" w:rsidP="005208ED">
      <w:pPr>
        <w:spacing w:after="0" w:line="240" w:lineRule="auto"/>
        <w:rPr>
          <w:b/>
          <w:sz w:val="24"/>
          <w:szCs w:val="24"/>
        </w:rPr>
      </w:pPr>
    </w:p>
    <w:p w14:paraId="5016F257" w14:textId="77777777" w:rsidR="005208ED" w:rsidRPr="005208ED" w:rsidRDefault="005208ED" w:rsidP="005208ED">
      <w:pPr>
        <w:spacing w:after="0" w:line="240" w:lineRule="auto"/>
        <w:rPr>
          <w:sz w:val="24"/>
          <w:szCs w:val="24"/>
        </w:rPr>
      </w:pPr>
      <w:r w:rsidRPr="005208ED">
        <w:rPr>
          <w:sz w:val="24"/>
          <w:szCs w:val="24"/>
        </w:rPr>
        <w:t xml:space="preserve">Chris Doxey, CAPP, CCSA, CICA, CPC </w:t>
      </w:r>
    </w:p>
    <w:p w14:paraId="1B5BD4F1" w14:textId="77777777" w:rsidR="005208ED" w:rsidRPr="005208ED" w:rsidRDefault="005208ED" w:rsidP="005208ED">
      <w:pPr>
        <w:spacing w:after="0" w:line="240" w:lineRule="auto"/>
        <w:rPr>
          <w:sz w:val="24"/>
          <w:szCs w:val="24"/>
        </w:rPr>
      </w:pPr>
      <w:r w:rsidRPr="005208ED">
        <w:rPr>
          <w:sz w:val="24"/>
          <w:szCs w:val="24"/>
        </w:rPr>
        <w:t>Doxey, Inc.</w:t>
      </w:r>
    </w:p>
    <w:p w14:paraId="2D04D328" w14:textId="77777777" w:rsidR="005208ED" w:rsidRPr="005208ED" w:rsidRDefault="005208ED" w:rsidP="005208ED">
      <w:pPr>
        <w:spacing w:after="0" w:line="240" w:lineRule="auto"/>
        <w:rPr>
          <w:b/>
          <w:sz w:val="24"/>
          <w:szCs w:val="24"/>
        </w:rPr>
      </w:pPr>
    </w:p>
    <w:p w14:paraId="2D256273" w14:textId="77777777" w:rsidR="005208ED" w:rsidRDefault="005208ED" w:rsidP="005208ED">
      <w:pPr>
        <w:spacing w:after="0" w:line="240" w:lineRule="auto"/>
        <w:rPr>
          <w:sz w:val="24"/>
          <w:szCs w:val="24"/>
        </w:rPr>
      </w:pPr>
      <w:r w:rsidRPr="005208ED">
        <w:rPr>
          <w:sz w:val="24"/>
          <w:szCs w:val="24"/>
        </w:rPr>
        <w:t xml:space="preserve">Chris spent most of her career implementing leading financial processes, systems, and internal controls at global companies such as Digital Equipment Corporation, Compaq Computer Corporation, Hewlett Packard, and MCI where she was a controller, director of financial process transformation, director of internal controls, and director of global accounts payable. She also held executive roles at APEX Analytix and Business Strategy. </w:t>
      </w:r>
    </w:p>
    <w:p w14:paraId="0E3EA31B" w14:textId="77777777" w:rsidR="005208ED" w:rsidRDefault="005208ED" w:rsidP="005208ED">
      <w:pPr>
        <w:spacing w:after="0" w:line="240" w:lineRule="auto"/>
        <w:rPr>
          <w:sz w:val="24"/>
          <w:szCs w:val="24"/>
        </w:rPr>
      </w:pPr>
    </w:p>
    <w:p w14:paraId="140407AC" w14:textId="77777777" w:rsidR="005208ED" w:rsidRPr="005208ED" w:rsidRDefault="005208ED" w:rsidP="005208ED">
      <w:pPr>
        <w:spacing w:after="0" w:line="240" w:lineRule="auto"/>
        <w:rPr>
          <w:sz w:val="24"/>
          <w:szCs w:val="24"/>
        </w:rPr>
      </w:pPr>
      <w:r w:rsidRPr="005208ED">
        <w:rPr>
          <w:sz w:val="24"/>
          <w:szCs w:val="24"/>
        </w:rPr>
        <w:t>As president of Doxey, Inc., she consults with several Fortune 100 companies and solution providers to implement P2P, O2C, and R2R best practices. She supports the IOFM as a trainer and consultant.</w:t>
      </w:r>
    </w:p>
    <w:p w14:paraId="79A7022F" w14:textId="77777777" w:rsidR="005208ED" w:rsidRDefault="005208ED" w:rsidP="005208ED">
      <w:pPr>
        <w:spacing w:after="0" w:line="240" w:lineRule="auto"/>
      </w:pPr>
    </w:p>
    <w:p w14:paraId="170BC7D4" w14:textId="77777777" w:rsidR="00B9711E" w:rsidRDefault="00B9711E"/>
    <w:sectPr w:rsidR="00B9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00B6"/>
    <w:multiLevelType w:val="hybridMultilevel"/>
    <w:tmpl w:val="2E4C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F054C7"/>
    <w:multiLevelType w:val="hybridMultilevel"/>
    <w:tmpl w:val="32B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ED"/>
    <w:rsid w:val="001175E0"/>
    <w:rsid w:val="005208ED"/>
    <w:rsid w:val="00B9711E"/>
    <w:rsid w:val="00D5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D09C"/>
  <w15:chartTrackingRefBased/>
  <w15:docId w15:val="{C9092E89-9B4A-4D14-94B1-40027AC8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08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ED"/>
    <w:rPr>
      <w:color w:val="0563C1" w:themeColor="hyperlink"/>
      <w:u w:val="single"/>
    </w:rPr>
  </w:style>
  <w:style w:type="paragraph" w:styleId="NormalWeb">
    <w:name w:val="Normal (Web)"/>
    <w:basedOn w:val="Normal"/>
    <w:uiPriority w:val="99"/>
    <w:semiHidden/>
    <w:unhideWhenUsed/>
    <w:rsid w:val="005208ED"/>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208ED"/>
    <w:pPr>
      <w:spacing w:after="200" w:line="276" w:lineRule="auto"/>
      <w:ind w:left="720"/>
      <w:contextualSpacing/>
    </w:pPr>
    <w:rPr>
      <w:rFonts w:eastAsiaTheme="minorEastAsia"/>
    </w:rPr>
  </w:style>
  <w:style w:type="character" w:styleId="UnresolvedMention">
    <w:name w:val="Unresolved Mention"/>
    <w:basedOn w:val="DefaultParagraphFont"/>
    <w:uiPriority w:val="99"/>
    <w:semiHidden/>
    <w:unhideWhenUsed/>
    <w:rsid w:val="00520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tendee.gotowebinar.com/register/35172985108864335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Huntley</dc:creator>
  <cp:keywords/>
  <dc:description/>
  <cp:lastModifiedBy>Nicole Huntley</cp:lastModifiedBy>
  <cp:revision>2</cp:revision>
  <cp:lastPrinted>2019-10-02T15:14:00Z</cp:lastPrinted>
  <dcterms:created xsi:type="dcterms:W3CDTF">2019-10-02T14:43:00Z</dcterms:created>
  <dcterms:modified xsi:type="dcterms:W3CDTF">2019-10-02T15:32:00Z</dcterms:modified>
</cp:coreProperties>
</file>